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aragraph"/>
        <w:spacing w:beforeAutospacing="0" w:before="0" w:afterAutospacing="0" w:after="0"/>
        <w:ind w:left="4320"/>
        <w:textAlignment w:val="baseline"/>
        <w:rPr>
          <w:lang w:val="lt-LT"/>
        </w:rPr>
      </w:pPr>
      <w:r>
        <w:rPr>
          <w:lang w:val="lt-LT"/>
        </w:rPr>
      </w:r>
    </w:p>
    <w:p>
      <w:pPr>
        <w:pStyle w:val="Normal"/>
        <w:widowControl w:val="false"/>
        <w:tabs>
          <w:tab w:val="clear" w:pos="1296"/>
          <w:tab w:val="left" w:pos="567" w:leader="none"/>
          <w:tab w:val="left" w:pos="851" w:leader="none"/>
        </w:tabs>
        <w:jc w:val="center"/>
        <w:rPr>
          <w:b/>
          <w:bCs/>
          <w:caps/>
          <w:szCs w:val="24"/>
        </w:rPr>
      </w:pPr>
      <w:r>
        <w:rPr>
          <w:b/>
          <w:bCs/>
          <w:caps/>
          <w:szCs w:val="24"/>
        </w:rPr>
        <w:t>paslaugų pirkimo-pardavimo sutarties Specialiosios sąlygos</w:t>
      </w:r>
    </w:p>
    <w:p>
      <w:pPr>
        <w:pStyle w:val="Normal"/>
        <w:widowControl w:val="false"/>
        <w:tabs>
          <w:tab w:val="clear" w:pos="1296"/>
          <w:tab w:val="left" w:pos="567" w:leader="none"/>
          <w:tab w:val="left" w:pos="851" w:leader="none"/>
        </w:tabs>
        <w:jc w:val="center"/>
        <w:rPr>
          <w:b/>
          <w:bCs/>
          <w:caps/>
          <w:szCs w:val="24"/>
        </w:rPr>
      </w:pPr>
      <w:r>
        <w:rPr>
          <w:b/>
          <w:bCs/>
          <w:caps/>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3"/>
        <w:gridCol w:w="2184"/>
        <w:gridCol w:w="2359"/>
        <w:gridCol w:w="2571"/>
      </w:tblGrid>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t>DRAUDIMO NUO NELAIMINGŲ ATSITIKIMŲ PASLAUGOS</w:t>
            </w:r>
          </w:p>
        </w:tc>
      </w:tr>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data</w:t>
            </w:r>
          </w:p>
        </w:tc>
        <w:tc>
          <w:tcPr>
            <w:tcW w:w="2184"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c>
          <w:tcPr>
            <w:tcW w:w="2359" w:type="dxa"/>
            <w:tcBorders>
              <w:top w:val="single" w:sz="4" w:space="0" w:color="000000"/>
              <w:left w:val="single" w:sz="4" w:space="0" w:color="000000"/>
              <w:bottom w:val="single" w:sz="4" w:space="0" w:color="000000"/>
              <w:right w:val="single" w:sz="4" w:space="0" w:color="000000"/>
            </w:tcBorders>
          </w:tcPr>
          <w:p>
            <w:pPr>
              <w:pStyle w:val="Normal"/>
              <w:jc w:val="both"/>
              <w:rPr>
                <w:b/>
                <w:kern w:val="2"/>
                <w:szCs w:val="24"/>
              </w:rPr>
            </w:pPr>
            <w:r>
              <w:rPr>
                <w:b/>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r>
    </w:tbl>
    <w:p>
      <w:pPr>
        <w:pStyle w:val="Normal"/>
        <w:jc w:val="both"/>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jc w:val="center"/>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t>Valstybės įmonė Valstybinių miškų urėdija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t>132340880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Autospacing="0" w:before="0" w:afterAutospacing="0" w:after="0"/>
              <w:jc w:val="center"/>
              <w:textAlignment w:val="baseline"/>
              <w:rPr>
                <w:rFonts w:ascii="Segoe UI" w:hAnsi="Segoe UI" w:cs="Segoe UI"/>
                <w:sz w:val="18"/>
                <w:szCs w:val="18"/>
                <w:lang w:val="lt-LT"/>
              </w:rPr>
            </w:pPr>
            <w:r>
              <w:rPr>
                <w:rStyle w:val="normaltextrun"/>
                <w:lang w:val="lt-LT"/>
              </w:rPr>
              <w:t>Registracijos adresas: Pramonės pr. 11A-9, 51327 Kaunas</w:t>
            </w:r>
          </w:p>
          <w:p>
            <w:pPr>
              <w:pStyle w:val="Normal"/>
              <w:jc w:val="center"/>
              <w:rPr>
                <w:kern w:val="2"/>
                <w:szCs w:val="24"/>
              </w:rPr>
            </w:pPr>
            <w:r>
              <w:rPr>
                <w:rStyle w:val="normaltextrun"/>
              </w:rPr>
              <w:t>Buveinės adresas: Savanorių pr. 176, 03154 Vilnius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LT323408811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LT84 7044 0600 0812 3597</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Autospacing="0" w:before="0" w:afterAutospacing="0" w:after="0"/>
              <w:jc w:val="center"/>
              <w:textAlignment w:val="baseline"/>
              <w:rPr>
                <w:rFonts w:ascii="Segoe UI" w:hAnsi="Segoe UI" w:cs="Segoe UI"/>
                <w:sz w:val="18"/>
                <w:szCs w:val="18"/>
                <w:lang w:val="lt-LT"/>
              </w:rPr>
            </w:pPr>
            <w:r>
              <w:rPr>
                <w:rStyle w:val="normaltextrun"/>
                <w:lang w:val="lt-LT"/>
              </w:rPr>
              <w:t>AB SEB bankas,</w:t>
            </w:r>
          </w:p>
          <w:p>
            <w:pPr>
              <w:pStyle w:val="Normal"/>
              <w:jc w:val="center"/>
              <w:rPr>
                <w:kern w:val="2"/>
                <w:szCs w:val="24"/>
              </w:rPr>
            </w:pPr>
            <w:r>
              <w:rPr>
                <w:rStyle w:val="normaltextrun"/>
              </w:rPr>
              <w:t>banko kodas: 70440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+370 5 273 4021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hyperlink r:id="rId2" w:tgtFrame="_blank">
              <w:r>
                <w:rPr>
                  <w:rStyle w:val="ListLabel1"/>
                  <w:color w:val="0000FF"/>
                </w:rPr>
                <w:t>info@vmu.lt</w:t>
              </w:r>
            </w:hyperlink>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r>
          </w:p>
          <w:p>
            <w:pPr>
              <w:pStyle w:val="Normal"/>
              <w:rPr>
                <w:b/>
                <w:kern w:val="2"/>
                <w:szCs w:val="24"/>
              </w:rPr>
            </w:pPr>
            <w:r>
              <w:rPr>
                <w:b/>
                <w:kern w:val="2"/>
                <w:szCs w:val="24"/>
              </w:rPr>
              <w:t>1.2. Tiekėjas</w:t>
            </w:r>
          </w:p>
          <w:p>
            <w:pPr>
              <w:pStyle w:val="Normal"/>
              <w:rPr>
                <w:color w:val="4472C4"/>
                <w:kern w:val="2"/>
                <w:szCs w:val="24"/>
              </w:rPr>
            </w:pPr>
            <w:r>
              <w:rPr>
                <w:color w:val="4472C4"/>
                <w:kern w:val="2"/>
                <w:szCs w:val="24"/>
              </w:rPr>
              <w:t>(jei Tiekėjas yra fizinis asmuo, skiltys atitinkamai pakoreguojamos.</w:t>
            </w:r>
          </w:p>
          <w:p>
            <w:pPr>
              <w:pStyle w:val="Normal"/>
              <w:rPr>
                <w:color w:val="4472C4"/>
                <w:kern w:val="2"/>
                <w:szCs w:val="24"/>
              </w:rPr>
            </w:pPr>
            <w:r>
              <w:rPr>
                <w:color w:val="4472C4"/>
                <w:kern w:val="2"/>
                <w:szCs w:val="24"/>
              </w:rPr>
              <w:t>Jei Tiekėjas yra tiekėjų grupė, skiltys pildomos įterpiant kiekvieno grupės nario informaciją)</w:t>
            </w:r>
          </w:p>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bl>
    <w:p>
      <w:pPr>
        <w:pStyle w:val="Normal"/>
        <w:jc w:val="both"/>
        <w:rPr>
          <w:szCs w:val="24"/>
        </w:rPr>
      </w:pPr>
      <w:r>
        <w:rPr>
          <w:szCs w:val="24"/>
        </w:rPr>
      </w:r>
    </w:p>
    <w:tbl>
      <w:tblPr>
        <w:tblW w:w="953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055"/>
        <w:gridCol w:w="41"/>
        <w:gridCol w:w="2132"/>
        <w:gridCol w:w="4306"/>
      </w:tblGrid>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2. ATSAKINGI ASMENYS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2.2. Tiekėjo kontaktiniai asmenys, atsakingi už Sutarties vykdymą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4472C4"/>
                <w:kern w:val="2"/>
                <w:szCs w:val="24"/>
              </w:rPr>
              <w:t>(nurodyti padalinį / skyrių, pareigas, vardą, pavardę, tel., el. paštą)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3. SUTARTIES DALYKAS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3.1. Sutarties dalykas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kern w:val="2"/>
                <w:szCs w:val="24"/>
              </w:rPr>
              <w:t>Tiekėjas įsipareigoja Sutartyje numatytomis sąlygomis suteikti Pirkėjui darbuotojų draudimo nuo nelaimingų atsitikimų paslaugas</w:t>
            </w:r>
            <w:r>
              <w:rPr>
                <w:color w:val="000000"/>
                <w:kern w:val="2"/>
                <w:szCs w:val="24"/>
              </w:rPr>
              <w:t xml:space="preserve"> (toliau – Paslaugos).</w:t>
            </w:r>
          </w:p>
          <w:p>
            <w:pPr>
              <w:pStyle w:val="Normal"/>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„VĮ Valstybinių miškų urėdijos darbuotojų draudimo nuo nelaimingų atsitikimų paslaugų pirkimo techninė specifikacija“ (toliau – Techninė specifikacija) ir Sutarties priede Nr. 2 „Pasiūlymas“.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3.2. Pirkimo pavadinimas ir numeris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3.3. Informacija apie Europos Sąjungos lėšomis finansuojamą projektą arba kitą projektą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pPr>
              <w:pStyle w:val="Normal"/>
              <w:rPr>
                <w:b/>
                <w:kern w:val="2"/>
                <w:szCs w:val="24"/>
              </w:rPr>
            </w:pPr>
            <w:r>
              <w:rPr>
                <w:b/>
                <w:kern w:val="2"/>
                <w:szCs w:val="24"/>
              </w:rPr>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szCs w:val="24"/>
              </w:rPr>
              <w:t xml:space="preserve">Tiekėjas Paslaugas įsipareigoja teikti </w:t>
            </w:r>
            <w:r>
              <w:rPr>
                <w:b/>
                <w:bCs/>
                <w:szCs w:val="24"/>
              </w:rPr>
              <w:t>nuo 2027 sausio 10 d. 00:00 val. iki 2028 sausio 9 d. 24:00 val.</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4.2. Paslaugų / jų dalies / etapo / periodo suteikimo termino pratęsimas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4.3. Užsakymų teikimo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szCs w:val="24"/>
              </w:rPr>
              <w:t>Netaikoma</w:t>
            </w:r>
          </w:p>
          <w:p>
            <w:pPr>
              <w:pStyle w:val="Normal"/>
              <w:rPr>
                <w:szCs w:val="24"/>
              </w:rPr>
            </w:pPr>
            <w:r>
              <w:rPr>
                <w:szCs w:val="24"/>
              </w:rPr>
            </w:r>
          </w:p>
        </w:tc>
      </w:tr>
      <w:tr>
        <w:trPr>
          <w:trHeight w:val="3341"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4.4. Dėl minimalios Užsakymo vertės ar apimties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4.5. Pateikiami dokumentai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sz w:val="22"/>
                <w:szCs w:val="22"/>
              </w:rPr>
            </w:pPr>
            <w:r>
              <w:rPr>
                <w:color w:val="000000"/>
                <w:kern w:val="2"/>
                <w:szCs w:val="24"/>
              </w:rPr>
              <w:t>Turi būti pateikiami šie dokumentai: D</w:t>
            </w:r>
            <w:r>
              <w:rPr>
                <w:color w:val="000000"/>
                <w:kern w:val="2"/>
                <w:szCs w:val="24"/>
                <w:lang w:eastAsia="lt-LT"/>
              </w:rPr>
              <w:t>raudimo polisas</w:t>
            </w:r>
            <w:r>
              <w:rPr>
                <w:color w:val="000000"/>
                <w:kern w:val="2"/>
                <w:szCs w:val="24"/>
              </w:rPr>
              <w:t xml:space="preserve"> ir Sąskaita. Tiekėjui nepateikus nurodytų dokumentų, laikoma, kad Paslaugos neatitinka Sutartyje nustatytų reikalavimų.</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5. SUTARTIES KAINA IR ATSISKAITYMO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5.1. Sutarčiai taikomas kainos apskaičiavimo būdas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Fiksuoto įkainio kainodara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pPr>
              <w:pStyle w:val="Normal"/>
              <w:rPr>
                <w:b/>
                <w:kern w:val="2"/>
                <w:szCs w:val="24"/>
              </w:rPr>
            </w:pPr>
            <w:r>
              <w:rPr>
                <w:b/>
                <w:kern w:val="2"/>
                <w:szCs w:val="24"/>
              </w:rPr>
            </w:r>
          </w:p>
          <w:p>
            <w:pPr>
              <w:pStyle w:val="Normal"/>
              <w:rPr>
                <w:b/>
                <w:kern w:val="2"/>
                <w:szCs w:val="24"/>
              </w:rPr>
            </w:pPr>
            <w:r>
              <w:rPr>
                <w:b/>
                <w:kern w:val="2"/>
                <w:szCs w:val="24"/>
              </w:rPr>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 xml:space="preserve">Pradinės Sutarties vertė yra </w:t>
            </w:r>
            <w:r>
              <w:rPr>
                <w:b/>
                <w:bCs/>
                <w:color w:val="000000"/>
                <w:kern w:val="2"/>
                <w:szCs w:val="24"/>
              </w:rPr>
              <w:t>275 000 (du šimtai septyniasdešimt penki tūkstančiai eurų, 00 centų) Eur be PVM.</w:t>
            </w:r>
          </w:p>
          <w:p>
            <w:pPr>
              <w:pStyle w:val="Normal"/>
              <w:rPr>
                <w:color w:val="000000"/>
                <w:kern w:val="2"/>
                <w:szCs w:val="24"/>
              </w:rPr>
            </w:pPr>
            <w:r>
              <w:rPr>
                <w:color w:val="000000"/>
                <w:kern w:val="2"/>
                <w:szCs w:val="24"/>
              </w:rPr>
              <w:t>Vadovaujantis Lietuvos Respublikos pridėtinės vertės mokesčio įstatymo 27 straipsniu, Paslaugos PVM neapmokestinamos.</w:t>
            </w:r>
          </w:p>
          <w:p>
            <w:pPr>
              <w:pStyle w:val="Normal"/>
              <w:rPr>
                <w:color w:val="000000"/>
                <w:kern w:val="2"/>
                <w:szCs w:val="24"/>
              </w:rPr>
            </w:pPr>
            <w:r>
              <w:rPr>
                <w:color w:val="000000"/>
                <w:kern w:val="2"/>
                <w:szCs w:val="24"/>
              </w:rPr>
            </w:r>
          </w:p>
          <w:p>
            <w:pPr>
              <w:pStyle w:val="Normal"/>
              <w:rPr>
                <w:color w:val="000000"/>
                <w:kern w:val="2"/>
                <w:szCs w:val="24"/>
              </w:rPr>
            </w:pPr>
            <w:r>
              <w:rPr>
                <w:color w:val="000000"/>
                <w:kern w:val="2"/>
                <w:szCs w:val="24"/>
              </w:rPr>
              <w:t>Šioje Sutartyje Pradinės Sutarties vertė yra lygi maksimaliai pirkimui skirtai lėšų sumai be PVM pirkimo dokumentuose ir Sutartyje nurodytų Paslaugų įsigijimui. Pirkėjas perka Paslaugas pagal poreikį Sutarties priede Nr. 2 „Pasiūlymas“ nurodytais įkainiais, neviršijant pradinės Sutarties vertės. Sutarties priede Nr. 1 ,,Techninė specifikacija“ atskirose eilutėse nurodytas Paslaugų kiekis gali būti keičiamas (Draudimo laikotarpiu Pirkėjo apdraustų darbuotojų skaičius gali padidėti iki 15 procentų, o sumažėti iki 30 procentų).</w:t>
            </w:r>
          </w:p>
          <w:p>
            <w:pPr>
              <w:pStyle w:val="Normal"/>
              <w:rPr>
                <w:color w:val="000000"/>
                <w:kern w:val="2"/>
                <w:szCs w:val="24"/>
              </w:rPr>
            </w:pPr>
            <w:r>
              <w:rPr>
                <w:color w:val="000000"/>
                <w:kern w:val="2"/>
                <w:szCs w:val="24"/>
              </w:rPr>
              <w:t>Pirkėjas neįsipareigoja išpirkti preliminaraus Paslaugų kiekio ar bet kokios jo dalies.</w:t>
            </w:r>
          </w:p>
          <w:p>
            <w:pPr>
              <w:pStyle w:val="Normal"/>
              <w:rPr>
                <w:color w:val="000000"/>
                <w:kern w:val="2"/>
                <w:szCs w:val="24"/>
              </w:rPr>
            </w:pPr>
            <w:r>
              <w:rPr>
                <w:color w:val="000000"/>
                <w:kern w:val="2"/>
                <w:szCs w:val="24"/>
              </w:rPr>
              <w:t>Draudimo polise (liudijime) nurodyta draudimo įmoka apskaičiuota sudauginus Pirkėjo faktinį apdraustų darbuotojų skaičių iš Sutarties priede Nr. 2 „Pasiūlymas“ nurodytų Paslaugų įkainių.</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pPr>
              <w:pStyle w:val="Normal"/>
              <w:rPr>
                <w:b/>
                <w:kern w:val="2"/>
                <w:szCs w:val="24"/>
              </w:rPr>
            </w:pPr>
            <w:r>
              <w:rPr>
                <w:b/>
                <w:kern w:val="2"/>
                <w:szCs w:val="24"/>
              </w:rPr>
            </w:r>
          </w:p>
          <w:p>
            <w:pPr>
              <w:pStyle w:val="Normal"/>
              <w:rPr>
                <w:kern w:val="2"/>
                <w:szCs w:val="24"/>
              </w:rPr>
            </w:pPr>
            <w:r>
              <w:rPr>
                <w:kern w:val="2"/>
                <w:szCs w:val="24"/>
              </w:rPr>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Sutarties įkainiai bus perskaičiuojami:</w:t>
            </w:r>
          </w:p>
          <w:p>
            <w:pPr>
              <w:pStyle w:val="Normal"/>
              <w:rPr>
                <w:color w:val="000000"/>
                <w:kern w:val="2"/>
                <w:szCs w:val="24"/>
              </w:rPr>
            </w:pPr>
            <w:r>
              <w:rPr>
                <w:color w:val="000000"/>
                <w:kern w:val="2"/>
                <w:szCs w:val="24"/>
              </w:rPr>
              <w:t>5.3.1. dėl PVM tarifo pasikeitimo;</w:t>
            </w:r>
          </w:p>
          <w:p>
            <w:pPr>
              <w:pStyle w:val="Normal"/>
              <w:rPr>
                <w:color w:val="000000"/>
              </w:rPr>
            </w:pPr>
            <w:r>
              <w:rPr>
                <w:color w:val="000000"/>
                <w:kern w:val="2"/>
                <w:szCs w:val="24"/>
              </w:rPr>
              <w:t>5.3.2. dėl kitų mokesčių, lemiančių Paslaugų kainos / įkainių pokytį, pasikeitimo (dėl saugumo įnašo tarifo);</w:t>
            </w:r>
          </w:p>
          <w:p>
            <w:pPr>
              <w:pStyle w:val="Normal"/>
              <w:rPr>
                <w:color w:val="000000"/>
              </w:rPr>
            </w:pPr>
            <w:r>
              <w:rPr>
                <w:color w:val="000000"/>
                <w:kern w:val="2"/>
                <w:szCs w:val="24"/>
              </w:rPr>
              <w:t>5.3.3. dėl kainų lygio pokyčio.</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5.3.1. Sutarties kainos / įkainių peržiūra dėl PVM tarifo pasikeitimo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pPr>
              <w:pStyle w:val="Normal"/>
              <w:rPr>
                <w:szCs w:val="24"/>
              </w:rPr>
            </w:pPr>
            <w:r>
              <w:rPr>
                <w:szCs w:val="24"/>
              </w:rPr>
            </w:r>
          </w:p>
          <w:p>
            <w:pPr>
              <w:pStyle w:val="Normal"/>
              <w:rPr>
                <w:szCs w:val="24"/>
              </w:rPr>
            </w:pPr>
            <w:r>
              <w:rPr>
                <w:kern w:val="2"/>
                <w:szCs w:val="24"/>
              </w:rPr>
              <w:t>Perskaičiavimas įforminamas Susitarimu ne vėliau kaip per 10 (dešimt) darbo dienų nuo PVM mokėjimą reglamentuojančių teisės aktų pasikeitimo, kuris tampa neatskiriama Sutarties dalimi. Perskaičiuota (-as) Sutarties kaina / įkainiai taikoma (-i) už tą Paslaugų dalį, kurios bus teikiamos nuo Susitarime nurodytos dienos.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Jeigu Sutarties vykdymo metu pasikeičia kitų (ne PVM) mokesčių, lemiančių Tiekėjo teikiamų Paslaugų Sutartyje nurodytos kainos / įkainių pokytį, mokėjimą reglamentuojantys teisės aktai (dėl saugumo įnašo tarifo), Sutartyje nurodyta Sutarties kaina / įkainiai perskaičiuojami juos didinant arba mažinant. Peržiūra įforminama Susitarimu, kuris tampa neatskiriama Sutarties dalimi.</w:t>
            </w:r>
          </w:p>
          <w:p>
            <w:pPr>
              <w:pStyle w:val="Normal"/>
              <w:rPr>
                <w:kern w:val="2"/>
                <w:szCs w:val="24"/>
              </w:rPr>
            </w:pPr>
            <w:r>
              <w:rPr>
                <w:kern w:val="2"/>
                <w:szCs w:val="24"/>
              </w:rPr>
              <w:t>Perskaičiuota (-as) Sutarties kaina / įkainis taikoma (-as) tik tai Paslaugų daliai, kuri bus teikiama nuo Sutarties Šalies prašymo peržiūrėti kainą pateikimo dienos, ir tik tuo atveju, jei Paslaugų dalies kainos dedamąją, paveiktą mokesčių pokyčio, galima aiškiai išskirti pagal Sutarties kainodarą.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
                <w:kern w:val="2"/>
                <w:szCs w:val="24"/>
              </w:rPr>
              <w:t>5.3.3. Sutarties kainos / įkainių peržiūra dėl kainų lygio pokyčio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pPr>
            <w:r>
              <w:rPr>
                <w:color w:val="000000"/>
                <w:kern w:val="2"/>
                <w:szCs w:val="24"/>
                <w:shd w:fill="FFFFFF" w:val="clear"/>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10 procentų arba yra mažesnis nei 10 procentų (naudojamas duomenų šaltinis – http://www.stat.gov.lt). Sutarties įkainių peržiūra atliekama ne rečiau kaip kas 6 (šeši) mėnesiai.</w:t>
            </w:r>
          </w:p>
          <w:p>
            <w:pPr>
              <w:pStyle w:val="Normal"/>
              <w:rPr>
                <w:color w:val="000000"/>
              </w:rPr>
            </w:pPr>
            <w:r>
              <w:rPr>
                <w:color w:val="000000"/>
                <w:kern w:val="2"/>
                <w:szCs w:val="24"/>
                <w:shd w:fill="FFFFFF" w:val="clear"/>
              </w:rPr>
              <w:t>5.3.3.2. Sutarties įkainiai peržiūrimi tik tai Sutarties daliai, kuri nėra išpirkta, t. y., Prekėms, kurios nėra priimtos ir apmokėtos. Vėlesnė Sutarties įkainių peržiūra negali apimti laikotarpio, už kurį jau buvo atliktas peržiūra.</w:t>
            </w:r>
          </w:p>
          <w:p>
            <w:pPr>
              <w:pStyle w:val="Normal"/>
              <w:rPr>
                <w:color w:val="000000"/>
              </w:rPr>
            </w:pPr>
            <w:r>
              <w:rPr>
                <w:color w:val="000000"/>
                <w:kern w:val="2"/>
                <w:szCs w:val="24"/>
                <w:shd w:fill="FFFFFF" w:val="clear"/>
              </w:rPr>
              <w:t>5.3.3.3. Jeigu Prekių tiekimas vėluoja dėl Tiekėjo kaltės, uždelstų pristatyti Prekių įkainiai nėra perskaičiuojami dėl kainų lygio kilimo (gali būti mažinami, tačiau negali būti didinami).</w:t>
            </w:r>
          </w:p>
          <w:p>
            <w:pPr>
              <w:pStyle w:val="Normal"/>
              <w:rPr>
                <w:color w:val="000000"/>
              </w:rPr>
            </w:pPr>
            <w:r>
              <w:rPr>
                <w:color w:val="000000"/>
                <w:kern w:val="2"/>
                <w:szCs w:val="24"/>
                <w:shd w:fill="FFFFFF" w:val="clear"/>
              </w:rPr>
              <w:t>5.3.3.4. Atlikdamos Sutarties įkainių peržiūrą Šalys vadovaujasi Valstybės duomenų agentūros viešai Oficialiosios statistikos portale paskelbtais Rodiklių duomenų bazės duomenimis (</w:t>
            </w:r>
            <w:hyperlink r:id="rId3">
              <w:r>
                <w:rPr>
                  <w:rStyle w:val="Hyperlink"/>
                  <w:color w:val="000000"/>
                  <w:kern w:val="2"/>
                  <w:szCs w:val="24"/>
                  <w:shd w:fill="FFFFFF" w:val="clear"/>
                </w:rPr>
                <w:t>https://osp.stat.gov.lt/</w:t>
              </w:r>
            </w:hyperlink>
            <w:r>
              <w:rPr>
                <w:color w:val="000000"/>
                <w:kern w:val="2"/>
                <w:szCs w:val="24"/>
                <w:shd w:fill="FFFFFF" w:val="clear"/>
              </w:rPr>
              <w:t>).</w:t>
            </w:r>
          </w:p>
          <w:p>
            <w:pPr>
              <w:pStyle w:val="Normal"/>
              <w:rPr>
                <w:color w:val="000000"/>
              </w:rPr>
            </w:pPr>
            <w:r>
              <w:rPr>
                <w:color w:val="000000"/>
                <w:kern w:val="2"/>
                <w:szCs w:val="24"/>
                <w:shd w:fill="FFFFFF" w:val="clear"/>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pPr>
              <w:pStyle w:val="Normal"/>
              <w:rPr>
                <w:color w:val="000000"/>
              </w:rPr>
            </w:pPr>
            <w:r>
              <w:rPr>
                <w:color w:val="000000"/>
                <w:kern w:val="2"/>
                <w:szCs w:val="24"/>
                <w:shd w:fill="FFFFFF" w:val="clear"/>
              </w:rPr>
              <w:t>5.3.3.6. Nauja Sutarties įkainiai apskaičiuojami pagal žemiau pateiktą formulę:</w:t>
            </w:r>
          </w:p>
          <w:p>
            <w:pPr>
              <w:pStyle w:val="Normal"/>
              <w:rPr>
                <w:color w:val="000000"/>
                <w:szCs w:val="24"/>
              </w:rPr>
            </w:pPr>
            <w:r>
              <w:rPr>
                <w:color w:val="000000"/>
                <w:szCs w:val="24"/>
              </w:rPr>
            </w:r>
          </w:p>
          <w:p>
            <w:pPr>
              <w:pStyle w:val="Normal"/>
              <w:jc w:val="both"/>
              <w:textAlignment w:val="baseline"/>
              <w:rPr>
                <w:color w:val="000000"/>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color w:val="000000"/>
                <w:kern w:val="2"/>
                <w:szCs w:val="24"/>
              </w:rPr>
              <w:t>, kur a – įkainis (Eur be PVM) (jei peržiūra jau buvo atlikta, tai po paskutinio perskaičiavimo)</w:t>
            </w:r>
          </w:p>
          <w:p>
            <w:pPr>
              <w:pStyle w:val="Normal"/>
              <w:jc w:val="both"/>
              <w:textAlignment w:val="baseline"/>
              <w:rPr>
                <w:color w:val="000000"/>
              </w:rPr>
            </w:pPr>
            <w:r>
              <w:rPr>
                <w:color w:val="000000"/>
                <w:kern w:val="2"/>
                <w:szCs w:val="24"/>
              </w:rPr>
              <w:t>a</w:t>
            </w:r>
            <w:r>
              <w:rPr>
                <w:color w:val="000000"/>
                <w:kern w:val="2"/>
                <w:szCs w:val="24"/>
                <w:vertAlign w:val="subscript"/>
              </w:rPr>
              <w:t>1</w:t>
            </w:r>
            <w:r>
              <w:rPr>
                <w:color w:val="000000"/>
                <w:kern w:val="2"/>
                <w:szCs w:val="24"/>
              </w:rPr>
              <w:t xml:space="preserve"> – perskaičiuota (pakeista) įkainis (Eur be PVM)</w:t>
            </w:r>
          </w:p>
          <w:p>
            <w:pPr>
              <w:pStyle w:val="Normal"/>
              <w:jc w:val="both"/>
              <w:textAlignment w:val="baseline"/>
              <w:rPr>
                <w:color w:val="000000"/>
              </w:rPr>
            </w:pPr>
            <w:r>
              <w:rPr>
                <w:color w:val="000000"/>
                <w:kern w:val="2"/>
                <w:szCs w:val="24"/>
              </w:rPr>
              <w:t>k – pagal vartotojų kainų indeksą (1253 Sveikatos draudimas) apskaičiuotas Vartojimo prekių ir paslaugų kainų pokytis (padidėjimas arba sumažėjimas) (%). „k“ reikšmė skaičiuojama pagal formulę:</w:t>
            </w:r>
          </w:p>
          <w:p>
            <w:pPr>
              <w:pStyle w:val="Normal"/>
              <w:jc w:val="both"/>
              <w:textAlignment w:val="baseline"/>
              <w:rPr>
                <w:color w:val="000000"/>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Ind</m:t>
                      </m:r>
                    </m:e>
                    <m:sub>
                      <m:r>
                        <w:rPr>
                          <w:rFonts w:ascii="Cambria Math" w:hAnsi="Cambria Math"/>
                        </w:rPr>
                        <m:t xml:space="preserve">pradžia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color w:val="000000"/>
                <w:kern w:val="2"/>
                <w:szCs w:val="24"/>
              </w:rPr>
              <w:t>, (proc.) kur</w:t>
            </w:r>
          </w:p>
          <w:p>
            <w:pPr>
              <w:pStyle w:val="Normal"/>
              <w:jc w:val="both"/>
              <w:textAlignment w:val="baseline"/>
              <w:rPr>
                <w:color w:val="000000"/>
              </w:rPr>
            </w:pPr>
            <w:r>
              <w:rPr>
                <w:color w:val="000000"/>
                <w:kern w:val="2"/>
              </w:rPr>
              <w:t>Ind</w:t>
            </w:r>
            <w:r>
              <w:rPr>
                <w:color w:val="000000"/>
                <w:kern w:val="2"/>
                <w:vertAlign w:val="subscript"/>
              </w:rPr>
              <w:t>naujausias</w:t>
            </w:r>
            <w:r>
              <w:rPr>
                <w:color w:val="000000"/>
                <w:kern w:val="2"/>
              </w:rPr>
              <w:t xml:space="preserve"> – kreipimosi dėl įkainių peržiūros išsiuntimo kitai Šaliai dieną paskelbtas naujausias vartojimo prekių ir paslaugų indeksas (1253 Sveikatos draudimas).</w:t>
            </w:r>
          </w:p>
          <w:p>
            <w:pPr>
              <w:pStyle w:val="Normal"/>
              <w:rPr>
                <w:color w:val="000000"/>
              </w:rPr>
            </w:pPr>
            <w:r>
              <w:rPr>
                <w:color w:val="000000"/>
                <w:kern w:val="2"/>
              </w:rPr>
              <w:t>Ind</w:t>
            </w:r>
            <w:r>
              <w:rPr>
                <w:color w:val="000000"/>
                <w:kern w:val="2"/>
                <w:vertAlign w:val="subscript"/>
              </w:rPr>
              <w:t>pradžia</w:t>
            </w:r>
            <w:r>
              <w:rPr>
                <w:color w:val="000000"/>
                <w:kern w:val="2"/>
              </w:rPr>
              <w:t xml:space="preserve"> – laikotarpio pradžios datos (mėnesio) vartojimo prekių ir paslaugų indeksas (1253 Sveikatos draudimas). Pirmojo perskaičiavimo atveju laikotarpio pradžia (mėnuo) yra</w:t>
            </w:r>
            <w:r>
              <w:rPr>
                <w:color w:val="000000"/>
              </w:rPr>
              <w:t xml:space="preserve"> Sutarties įsigaliojimo dienos mėnuo</w:t>
            </w:r>
            <w:r>
              <w:rPr>
                <w:color w:val="000000"/>
                <w:kern w:val="2"/>
                <w:szCs w:val="24"/>
                <w:shd w:fill="FFFFFF" w:val="clear"/>
              </w:rPr>
              <w:t>.</w:t>
            </w:r>
            <w:r>
              <w:rPr>
                <w:color w:val="000000"/>
                <w:kern w:val="2"/>
              </w:rPr>
              <w:t xml:space="preserve"> Antrojo ir vėlesnių perskaičiavimų atveju laikotarpio pradžia (mėnuo) yra paskutinio perskaičiavimo metu naudotos paskelbto atitinkamo indekso reikšmės mėnuo.</w:t>
            </w:r>
          </w:p>
          <w:p>
            <w:pPr>
              <w:pStyle w:val="Normal"/>
              <w:rPr>
                <w:color w:val="000000"/>
                <w:kern w:val="2"/>
                <w:szCs w:val="24"/>
                <w:shd w:fill="FFFFFF" w:val="clear"/>
              </w:rPr>
            </w:pPr>
            <w:r>
              <w:rPr>
                <w:color w:val="000000"/>
                <w:kern w:val="2"/>
                <w:szCs w:val="24"/>
                <w:shd w:fill="FFFFFF" w:val="clear"/>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pPr>
              <w:pStyle w:val="Normal"/>
              <w:rPr>
                <w:color w:val="000000"/>
                <w:kern w:val="2"/>
                <w:szCs w:val="24"/>
                <w:shd w:fill="FFFFFF" w:val="clear"/>
              </w:rPr>
            </w:pPr>
            <w:r>
              <w:rPr>
                <w:color w:val="000000"/>
                <w:kern w:val="2"/>
                <w:szCs w:val="24"/>
                <w:shd w:fill="FFFFFF" w:val="clear"/>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pPr>
              <w:pStyle w:val="Normal"/>
              <w:rPr>
                <w:color w:val="000000"/>
                <w:kern w:val="2"/>
                <w:szCs w:val="24"/>
                <w:shd w:fill="FFFFFF" w:val="clear"/>
              </w:rPr>
            </w:pPr>
            <w:r>
              <w:rPr>
                <w:color w:val="000000"/>
                <w:kern w:val="2"/>
                <w:szCs w:val="24"/>
                <w:shd w:fill="FFFFFF" w:val="clear"/>
              </w:rPr>
              <w:t>5.3.3.9. Susitarimas turi būti sudarytas per 14 (keturiolika) kalendorinių dienų nuo Šalies pateikto tinkamo prašymo perskaičiuoti Sutarties įkainius gavimo dienos.</w:t>
            </w:r>
          </w:p>
          <w:p>
            <w:pPr>
              <w:pStyle w:val="Normal"/>
              <w:rPr>
                <w:color w:val="000000"/>
              </w:rPr>
            </w:pPr>
            <w:r>
              <w:rPr>
                <w:color w:val="000000"/>
                <w:kern w:val="2"/>
                <w:szCs w:val="24"/>
                <w:shd w:fill="FFFFFF" w:val="clear"/>
              </w:rPr>
              <w:t>5.3.3.10. Susitarimu Šalys neturi teisės keisti procedūroje nurodytos tvarkos ar kitų Sutarties nuostatų, išskyrus, jei keitimas atliekamas pagal VPĮ nuostatas.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pPr>
              <w:pStyle w:val="Normal"/>
              <w:rPr>
                <w:color w:val="000000"/>
              </w:rPr>
            </w:pPr>
            <w:r>
              <w:rPr>
                <w:color w:val="000000"/>
                <w:kern w:val="2"/>
                <w:szCs w:val="24"/>
              </w:rPr>
              <w:t xml:space="preserve">Už Nenumatytas </w:t>
            </w:r>
            <w:r>
              <w:rPr>
                <w:color w:val="000000"/>
                <w:szCs w:val="24"/>
              </w:rPr>
              <w:t xml:space="preserve">paslaugas </w:t>
            </w:r>
            <w:r>
              <w:rPr>
                <w:color w:val="000000"/>
                <w:kern w:val="2"/>
                <w:szCs w:val="24"/>
              </w:rPr>
              <w:t xml:space="preserve">bus apmokama ne didesnėmis nei Užsakymo dieną Tiekėjo prekybos vietoje, kataloge ar interneto svetainėje nurodytomis galiojančiomis šių </w:t>
            </w:r>
            <w:r>
              <w:rPr>
                <w:color w:val="000000"/>
                <w:szCs w:val="24"/>
              </w:rPr>
              <w:t xml:space="preserve">paslaugų </w:t>
            </w:r>
            <w:r>
              <w:rPr>
                <w:color w:val="000000"/>
                <w:kern w:val="2"/>
                <w:szCs w:val="24"/>
              </w:rPr>
              <w:t>kainomis arba, jei tokios kainos neskelbiamos, tiekėjo pasiūlytomis, konkurencingomis ir rinką atitinkančiomis kainomis. Nenumatytų p</w:t>
            </w:r>
            <w:r>
              <w:rPr>
                <w:color w:val="000000"/>
                <w:szCs w:val="24"/>
              </w:rPr>
              <w:t>aslaugų</w:t>
            </w:r>
            <w:r>
              <w:rPr>
                <w:color w:val="000000"/>
                <w:kern w:val="2"/>
                <w:szCs w:val="24"/>
              </w:rPr>
              <w:t xml:space="preserve"> kaina su Pirkėju turi būti derinama iš anksto. Gavęs Tiekėjo pateiktas Nenumatytų </w:t>
            </w:r>
            <w:r>
              <w:rPr>
                <w:color w:val="000000"/>
                <w:szCs w:val="24"/>
              </w:rPr>
              <w:t xml:space="preserve">paslaugų </w:t>
            </w:r>
            <w:r>
              <w:rPr>
                <w:color w:val="000000"/>
                <w:kern w:val="2"/>
                <w:szCs w:val="24"/>
              </w:rPr>
              <w:t xml:space="preserve">kainas (komercinį pasiūlymą), Pirkėjas atlieka rinkos kainų tyrimą (apklausą telefonu ir / ar raštu, ir / ar paiešką elektroninėje erdvėje ar kt.), tokiu būdu įvertindamas, ar Tiekėjo pateiktos Nenumatytų </w:t>
            </w:r>
            <w:r>
              <w:rPr>
                <w:color w:val="000000"/>
                <w:szCs w:val="24"/>
              </w:rPr>
              <w:t>paslaugų</w:t>
            </w:r>
            <w:r>
              <w:rPr>
                <w:color w:val="000000"/>
                <w:kern w:val="2"/>
                <w:szCs w:val="24"/>
              </w:rPr>
              <w:t xml:space="preserve"> kainos atitinka rinkos kainas. Nustačius, kad Tiekėjo pasiūlytos Nenumatytų </w:t>
            </w:r>
            <w:r>
              <w:rPr>
                <w:color w:val="000000"/>
                <w:szCs w:val="24"/>
              </w:rPr>
              <w:t>paslaugų</w:t>
            </w:r>
            <w:r>
              <w:rPr>
                <w:color w:val="000000"/>
                <w:kern w:val="2"/>
                <w:szCs w:val="24"/>
              </w:rPr>
              <w:t xml:space="preserve"> kainos yra didesnės nei rinkos, Pirkėjas prašo Tiekėjo jas sumažinti. Tiekėjui nesutikus sumažinti Nenumatytų </w:t>
            </w:r>
            <w:r>
              <w:rPr>
                <w:color w:val="000000"/>
                <w:szCs w:val="24"/>
              </w:rPr>
              <w:t>paslaugų</w:t>
            </w:r>
            <w:r>
              <w:rPr>
                <w:color w:val="000000"/>
                <w:kern w:val="2"/>
                <w:szCs w:val="24"/>
              </w:rPr>
              <w:t xml:space="preserve"> kainos iki rinkos kainos, Pirkėjas pasilieka teisę Nenumatytas </w:t>
            </w:r>
            <w:r>
              <w:rPr>
                <w:color w:val="000000"/>
                <w:szCs w:val="24"/>
              </w:rPr>
              <w:t>paslaugas</w:t>
            </w:r>
            <w:r>
              <w:rPr>
                <w:color w:val="000000"/>
                <w:kern w:val="2"/>
                <w:szCs w:val="24"/>
              </w:rPr>
              <w:t xml:space="preserve"> įsigyti atskiru pirkimu.</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5.5. Atsiskaitymo su Tiekėju terminas ir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Pirkėjas atsiskaito su Tiekėju ne vėliau kaip per 30 (trisdešimt) dienų nuo Sąskaitos(-ų) gavimo dienos.</w:t>
            </w:r>
          </w:p>
          <w:p>
            <w:pPr>
              <w:pStyle w:val="Normal"/>
              <w:rPr>
                <w:color w:val="000000"/>
              </w:rPr>
            </w:pPr>
            <w:r>
              <w:rPr>
                <w:color w:val="000000"/>
                <w:kern w:val="2"/>
                <w:szCs w:val="24"/>
                <w:shd w:fill="FFFFFF" w:val="clear"/>
              </w:rPr>
              <w:t>Pirkėjas sumoka Tiekėjui draudimo įmoką keturiomis lygiomis dalimis kas 3 (tris) mėnesius</w:t>
            </w:r>
            <w:r>
              <w:rPr/>
              <w:t xml:space="preserve"> </w:t>
            </w:r>
            <w:r>
              <w:rPr>
                <w:color w:val="000000"/>
                <w:kern w:val="2"/>
                <w:szCs w:val="24"/>
                <w:shd w:fill="FFFFFF" w:val="clear"/>
              </w:rPr>
              <w:t>pagal draudimo polise (liudijime) numatytą įmokų mokėjimo grafiką.</w:t>
            </w:r>
          </w:p>
          <w:p>
            <w:pPr>
              <w:pStyle w:val="Normal"/>
              <w:rPr>
                <w:color w:val="000000"/>
              </w:rPr>
            </w:pPr>
            <w:r>
              <w:rPr>
                <w:color w:val="000000"/>
                <w:kern w:val="2"/>
                <w:szCs w:val="24"/>
              </w:rPr>
              <w:t>5.5.3. Perskaičiuota papildoma draudimo įmokos dalis už Pirkėjo apdraustų darbuotojų skaičiaus padidėjimą Tiekėjui sumokama per 30 (trisdešimt) dienų nuo Sąskaitos gavimo dienos.</w:t>
            </w:r>
          </w:p>
          <w:p>
            <w:pPr>
              <w:pStyle w:val="Normal"/>
              <w:rPr>
                <w:color w:val="000000"/>
              </w:rPr>
            </w:pPr>
            <w:r>
              <w:rPr>
                <w:color w:val="000000"/>
                <w:kern w:val="2"/>
                <w:szCs w:val="24"/>
              </w:rPr>
              <w:t>5.5.4. Perskaičiuota draudimo įmokos dalis už Pirkėjo apdraustų darbuotojų skaičiaus sumažėjimą Pirkėjui grąžinama per 30 (trisdešimt) die</w:t>
            </w:r>
            <w:r>
              <w:rPr>
                <w:color w:val="000000"/>
                <w:kern w:val="2"/>
                <w:szCs w:val="24"/>
                <w:shd w:fill="auto" w:val="clear"/>
              </w:rPr>
              <w:t>nų nuo atlikto perskaičiavimo dienos ir tiekėjo pateiktos sąskaitos per SABIS pave</w:t>
            </w:r>
            <w:r>
              <w:rPr>
                <w:color w:val="000000"/>
                <w:kern w:val="2"/>
                <w:szCs w:val="24"/>
              </w:rPr>
              <w:t>dimu į Sutarties Specialiųjų sąlygų 1.2 punkte nurodytą Pirkėjo sąskaitą.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5.6. Avansas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5.7. Avanso užtikrinimas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6. PASLAUGŲ KOKYBĖ IR GARANTINIAI ĮSIPAREIGOJIMAI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6.1. Garantinis terminas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6.2. Terminas Paslaugų trūkumams pašalinti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 xml:space="preserve">Paslaugos turi būti suteiktos tinkamai, kokybiškai pagal Sutartyje ir jos prieduose nustatytus reikalavimus. Nustačius, kad Paslaugos yra suteiktos nekokybiškai, neatitinka Sutarties reikalavimų, Teikėjas privalo ištaisyti Paslaugų trūkumus per 5 (penkias) darbo dienas nuo Pirkėjo </w:t>
            </w:r>
            <w:r>
              <w:rPr>
                <w:color w:val="000000"/>
              </w:rPr>
              <w:t xml:space="preserve">rašytinės pretenzijos </w:t>
            </w:r>
            <w:r>
              <w:rPr>
                <w:color w:val="000000"/>
                <w:kern w:val="2"/>
                <w:szCs w:val="24"/>
              </w:rPr>
              <w:t>gavimo dienos.</w:t>
            </w:r>
          </w:p>
          <w:p>
            <w:pPr>
              <w:pStyle w:val="Normal"/>
              <w:rPr>
                <w:color w:val="000000"/>
              </w:rPr>
            </w:pPr>
            <w:r>
              <w:rPr>
                <w:color w:val="000000"/>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szCs w:val="24"/>
              </w:rPr>
            </w:pPr>
            <w:r>
              <w:rPr>
                <w:b/>
                <w:szCs w:val="24"/>
              </w:rPr>
              <w:t>6.3. Kokybinių kriterijų įgyvendinimo ir tikrinimo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7. SUTARTIES VYKDYMUI PASITELKIAMI SUBTIEKĖJAI IR (AR) SPECIALISTAI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7.1. Sutarties vykdymui pasitelkiami subtiekėjai ir (ar) specialistai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vykdymui subtiekėjai ir (ar) specialistai nepasitelkiami.</w:t>
            </w:r>
          </w:p>
          <w:p>
            <w:pPr>
              <w:pStyle w:val="Normal"/>
              <w:rPr>
                <w:kern w:val="2"/>
                <w:szCs w:val="24"/>
              </w:rPr>
            </w:pPr>
            <w:r>
              <w:rPr>
                <w:kern w:val="2"/>
                <w:szCs w:val="24"/>
              </w:rPr>
            </w:r>
          </w:p>
          <w:p>
            <w:pPr>
              <w:pStyle w:val="Normal"/>
              <w:rPr>
                <w:color w:val="FF0000"/>
                <w:kern w:val="2"/>
                <w:szCs w:val="24"/>
              </w:rPr>
            </w:pPr>
            <w:r>
              <w:rPr>
                <w:color w:val="FF0000"/>
                <w:kern w:val="2"/>
                <w:szCs w:val="24"/>
              </w:rPr>
              <w:t>arba</w:t>
            </w:r>
          </w:p>
          <w:p>
            <w:pPr>
              <w:pStyle w:val="Normal"/>
              <w:rPr>
                <w:kern w:val="2"/>
                <w:szCs w:val="24"/>
              </w:rPr>
            </w:pPr>
            <w:r>
              <w:rPr>
                <w:kern w:val="2"/>
                <w:szCs w:val="24"/>
              </w:rPr>
            </w:r>
          </w:p>
          <w:p>
            <w:pPr>
              <w:pStyle w:val="Normal"/>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8. PRIEVOLIŲ PAGAL SUTARTĮ ĮVYKDYMO UŽTIKRINIMAS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8.1. Prievolių pagal Sutartį įvykdymo užtikrinimas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Prievolių pagal Sutartį įvykdymas užtikrinamas:</w:t>
            </w:r>
          </w:p>
          <w:p>
            <w:pPr>
              <w:pStyle w:val="Normal"/>
              <w:rPr>
                <w:kern w:val="2"/>
                <w:szCs w:val="24"/>
              </w:rPr>
            </w:pPr>
            <w:r>
              <w:rPr>
                <w:kern w:val="2"/>
                <w:szCs w:val="24"/>
              </w:rPr>
              <w:t>Netesybomis (delspinigiais, bauda)</w:t>
            </w:r>
            <w:r>
              <w:rPr>
                <w:color w:val="4472C4"/>
                <w:kern w:val="2"/>
                <w:szCs w:val="24"/>
              </w:rPr>
              <w:t>.</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8.2 Sutarties įvykdymo užtikrinimo galiojimo terminas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8.3. Sutarties įvykdymo užtikrinimo pateikimas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9. ŠALIŲ ATSAKOMYBĖ</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9.1. Pirkėjui taikomos netesybos už mokėjimų pagal Sutartį vėlavimą</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color w:val="000000"/>
                <w:kern w:val="2"/>
                <w:szCs w:val="24"/>
              </w:rPr>
            </w:pPr>
            <w:r>
              <w:rPr>
                <w:bCs/>
                <w:color w:val="000000"/>
                <w:kern w:val="2"/>
                <w:szCs w:val="24"/>
              </w:rPr>
              <w:t>Jei Pirkėjas, gavęs tinkamai pateiktą ir užpildytą Sąskaitą, uždelsia atsiskaityti už tinkamai Tiekėjo perduotas kokybiškas Paslaugas per Sutartyje nurodytą terminą, Tiekėjas nuo kitos nei nustatytas terminas dienos skaičiuoja Pirkėjui 0,02 (dvi šimtosios) procento dydžio delspinigius nuo neapmokėtos sumos be PVM už kiekvieną vėlavimo dieną, maksimalią delspinigių skaičiavimo ribą nustatant 20 (dvidešimt) procentų, skaičiuojamų nuo pradinės Sutarties vertės įskaitant PVM, jei jis Sutarčiai taikomas.  </w:t>
            </w:r>
          </w:p>
          <w:p>
            <w:pPr>
              <w:pStyle w:val="Normal"/>
              <w:rPr>
                <w:bCs/>
                <w:color w:val="FF0000"/>
                <w:kern w:val="2"/>
                <w:szCs w:val="24"/>
              </w:rPr>
            </w:pPr>
            <w:r>
              <w:rPr>
                <w:bCs/>
                <w:color w:val="FF0000"/>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9.2. Tiekėjui taikomos netesybos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pPr>
            <w:r>
              <w:rPr>
                <w:color w:val="000000"/>
                <w:kern w:val="2"/>
                <w:szCs w:val="24"/>
              </w:rPr>
              <w:t>9.2.1. Jeigu Tiekėjas vėluoja suteikti Paslaugas ar ištaisyti jų trūkumus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 maksimalią delspinigių skaičiavimo ribą nustatant 20 (dvidešimt) procentų, skaičiuojamų nuo pradinės Sutarties vertės įskaitant PVM, jei jis Sutarčiai taikomas.</w:t>
            </w:r>
          </w:p>
          <w:p>
            <w:pPr>
              <w:pStyle w:val="Normal"/>
              <w:rPr/>
            </w:pPr>
            <w:r>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pPr>
              <w:pStyle w:val="Normal"/>
              <w:rPr>
                <w:color w:val="000000"/>
                <w:kern w:val="2"/>
                <w:szCs w:val="24"/>
              </w:rPr>
            </w:pPr>
            <w:r>
              <w:rPr>
                <w:color w:val="000000"/>
                <w:kern w:val="2"/>
                <w:szCs w:val="24"/>
              </w:rPr>
              <w:t>9.2.3. Tiekėjas privalo sumokėti Pirkėjui netesybas per 30 (trisdešimt) dienų nuo Pirkėjo pareikalavimo, jeigu netesybų suma nėra išskaitoma iš Tiekėjui mokėtinos sumos.</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bCs/>
                <w:color w:val="000000"/>
                <w:kern w:val="2"/>
                <w:szCs w:val="24"/>
              </w:rPr>
              <w:t>9.3.1. Nutraukus Sutartį dėl esminio Sutarties pažeidimo, nustatyto Sutarties Specialiosiose sąlygose, mokama 2 (dviejų) procentų dydžio bauda nuo Pradinės Sutarties vertės be PVM, nurodytos Specialiųjų sąlygų 5.2 punkte.</w:t>
            </w:r>
          </w:p>
          <w:p>
            <w:pPr>
              <w:pStyle w:val="Normal"/>
              <w:rPr>
                <w:color w:val="000000"/>
              </w:rPr>
            </w:pPr>
            <w:r>
              <w:rPr>
                <w:bCs/>
                <w:color w:val="000000"/>
                <w:kern w:val="2"/>
                <w:szCs w:val="24"/>
              </w:rPr>
              <w:t>9.3.2. Nepagrįstai nutraukus Sutarties vykdymą ne Sutartyje nustatyta tvarka, mokama 2 (dviejų) procentų dydžio bauda nuo Pradinės Sutarties vertės, nurodytos Specialiųjų sąlygų 5.2 punkte.</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color w:val="000000"/>
                <w:kern w:val="2"/>
                <w:szCs w:val="24"/>
              </w:rPr>
            </w:pPr>
            <w:r>
              <w:rPr>
                <w:bCs/>
                <w:color w:val="000000"/>
                <w:kern w:val="2"/>
                <w:szCs w:val="24"/>
              </w:rPr>
              <w:t>Netaikoma</w:t>
            </w:r>
          </w:p>
          <w:p>
            <w:pPr>
              <w:pStyle w:val="Normal"/>
              <w:rPr>
                <w:bCs/>
                <w:kern w:val="2"/>
                <w:szCs w:val="24"/>
              </w:rPr>
            </w:pPr>
            <w:r>
              <w:rPr>
                <w:bCs/>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9.5. Tiekėjui taikomos baudos dėl aplinkosauginių ir (arba) socialinių kriterijų nesilaikymo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color w:val="000000"/>
                <w:kern w:val="2"/>
                <w:szCs w:val="24"/>
              </w:rPr>
            </w:pPr>
            <w:r>
              <w:rPr>
                <w:bCs/>
                <w:color w:val="000000"/>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9.6. Tiekėjui / Pirkėjui taikoma bauda dėl konfidencialumo reikalavimų nesilaikymo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500.00 EUR už kiekvieną atvejį</w:t>
            </w:r>
          </w:p>
          <w:p>
            <w:pPr>
              <w:pStyle w:val="Normal"/>
              <w:rPr>
                <w:bCs/>
                <w:kern w:val="2"/>
                <w:szCs w:val="24"/>
              </w:rPr>
            </w:pPr>
            <w:r>
              <w:rPr>
                <w:bCs/>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rPr>
              <w:t>9.7. Tiekėjui taikomos netesybos dėl pirkimo dokumentuose nustatytų Kokybinių kriterijų nepasiekimo Sutarties vykdymo metu</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color w:val="4472C4"/>
                <w:szCs w:val="24"/>
              </w:rPr>
            </w:pPr>
            <w:r>
              <w:rPr>
                <w:bCs/>
                <w:szCs w:val="24"/>
              </w:rPr>
              <w:t>Netaikoma</w:t>
            </w:r>
          </w:p>
        </w:tc>
      </w:tr>
      <w:tr>
        <w:trPr>
          <w:trHeight w:val="156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 xml:space="preserve">9.8. Tiekėjui taikomos netesybos dėl Sutarties įvykdymo užtikrinimo </w:t>
            </w:r>
            <w:r>
              <w:rPr>
                <w:b/>
                <w:szCs w:val="24"/>
              </w:rPr>
              <w:t>nepratęsimo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Netaikoma</w:t>
            </w:r>
          </w:p>
          <w:p>
            <w:pPr>
              <w:pStyle w:val="Normal"/>
              <w:rPr>
                <w:color w:val="4472C4"/>
                <w:kern w:val="2"/>
                <w:szCs w:val="24"/>
              </w:rPr>
            </w:pPr>
            <w:r>
              <w:rPr>
                <w:color w:val="4472C4"/>
                <w:kern w:val="2"/>
                <w:szCs w:val="24"/>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9.10. Kitos netesybos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Netaikoma</w:t>
            </w:r>
          </w:p>
          <w:p>
            <w:pPr>
              <w:pStyle w:val="Normal"/>
              <w:rPr>
                <w:color w:val="4472C4"/>
                <w:kern w:val="2"/>
                <w:szCs w:val="24"/>
              </w:rPr>
            </w:pPr>
            <w:r>
              <w:rPr>
                <w:color w:val="4472C4"/>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b/>
                <w:kern w:val="2"/>
                <w:szCs w:val="24"/>
              </w:rPr>
              <w:t>10. ESMINĖS SUTARTIES SĄLYGOS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10.1. Esminės Sutarties sąlygos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Draudimo paslaugų teikimo terminas nurodytas Sutarties 4.1 punktas.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bCs/>
              </w:rPr>
              <w:t>10.2. Dideli arba nuolatiniai esminės Sutarties sąlygos vykdymo trūkumai</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Draudimo paslaugų neteikimą ilgiau kaip 20 (dvidešimt) dienų, tai laikoma, kad esminę Sutarties sąlygą Tiekėjas vykdo su dideliais arba nuolatiniais trūkumais.</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11. SUTARTIES GALIOJIMAS IR KEITIMAS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szCs w:val="24"/>
              </w:rPr>
              <w:t>11.1. Sutarties sudarymas ir įsigaliojimas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Ši Sutartis laikoma sudaryta, kai (pirma) ją pasirašo abi Šalys, ir (antra) Užsakovui nustatyta tvarka užregistravus.</w:t>
            </w:r>
          </w:p>
          <w:p>
            <w:pPr>
              <w:pStyle w:val="Normal"/>
              <w:rPr>
                <w:color w:val="4472C4"/>
                <w:kern w:val="2"/>
                <w:szCs w:val="24"/>
              </w:rPr>
            </w:pPr>
            <w:r>
              <w:rPr>
                <w:kern w:val="2"/>
                <w:szCs w:val="24"/>
              </w:rPr>
              <w:t>Sutartis galioja iki visiško prievolių įvykdymo (kol bus išnaudota Pradinės Sutarties vertė, bet jos terminas negali būti ilgesnis kaip 14 (k</w:t>
            </w:r>
            <w:r>
              <w:rPr>
                <w:color w:val="000000"/>
                <w:kern w:val="2"/>
                <w:szCs w:val="24"/>
              </w:rPr>
              <w:t>eturiolika) mėnesių.</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11.2. Sutarties galiojimo termino pratęsimas</w:t>
            </w:r>
          </w:p>
        </w:tc>
        <w:tc>
          <w:tcPr>
            <w:tcW w:w="643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12. SUTARTIES NUTRAUKIMAS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12.1. Sutarties nutraukimo pagrindai</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pPr>
            <w:r>
              <w:rPr>
                <w:b/>
                <w:kern w:val="2"/>
                <w:szCs w:val="24"/>
              </w:rPr>
              <w:t xml:space="preserve">12.2. Esminiai Sutarties </w:t>
            </w:r>
            <w:r>
              <w:rPr>
                <w:b/>
                <w:szCs w:val="24"/>
              </w:rPr>
              <w:t>pažeidimai</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12.2.1. jeigu Tiekėjas nevykdo prisiimtų įsipareigojimų už Sutartyje nustatytą Sutarties kainą / įkainius;</w:t>
            </w:r>
          </w:p>
          <w:p>
            <w:pPr>
              <w:pStyle w:val="Normal"/>
              <w:rPr>
                <w:color w:val="000000"/>
              </w:rPr>
            </w:pPr>
            <w:r>
              <w:rPr>
                <w:color w:val="000000"/>
                <w:szCs w:val="24"/>
              </w:rPr>
              <w:t xml:space="preserve">12.2.2. </w:t>
            </w:r>
            <w:r>
              <w:rPr>
                <w:rFonts w:eastAsia="Arial"/>
                <w:color w:val="000000"/>
                <w:kern w:val="2"/>
                <w:szCs w:val="24"/>
              </w:rPr>
              <w:t>jeigu Tiekėjas nesilaiko Sutartyje nustatytų Paslaugų teikimo terminų 2 (du) kartus iš eilės arba vėluoja suteikti Paslaugas daugiau nei 30 (trisdešimt) dienų nuo Sutartyje nustatyto Paslaugų suteikimo termino;</w:t>
            </w:r>
          </w:p>
          <w:p>
            <w:pPr>
              <w:pStyle w:val="Normal"/>
              <w:tabs>
                <w:tab w:val="clear" w:pos="1296"/>
                <w:tab w:val="left" w:pos="567" w:leader="none"/>
                <w:tab w:val="left" w:pos="851" w:leader="none"/>
                <w:tab w:val="left" w:pos="992" w:leader="none"/>
                <w:tab w:val="left" w:pos="1134" w:leader="none"/>
              </w:tabs>
              <w:spacing w:lineRule="auto" w:line="252"/>
              <w:rPr>
                <w:color w:val="000000"/>
              </w:rPr>
            </w:pPr>
            <w:r>
              <w:rPr>
                <w:rFonts w:eastAsia="Arial"/>
                <w:color w:val="000000"/>
                <w:kern w:val="2"/>
                <w:szCs w:val="24"/>
              </w:rPr>
              <w:t>12.2.3. jeigu Tiekėjas pažeidžia Paslaugų suteikimo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rPr>
                <w:color w:val="000000"/>
              </w:rPr>
            </w:pPr>
            <w:r>
              <w:rPr>
                <w:rFonts w:eastAsia="Arial"/>
                <w:color w:val="000000"/>
                <w:kern w:val="2"/>
                <w:szCs w:val="24"/>
              </w:rPr>
              <w:t>12.2.4. Tiekėjas pažeidžia Paslaugų suteikimo terminus ir dėl Paslaugų suteikimo vėlavimo Paslaugos tampa nebereikalingos;</w:t>
            </w:r>
          </w:p>
          <w:p>
            <w:pPr>
              <w:pStyle w:val="Normal"/>
              <w:tabs>
                <w:tab w:val="clear" w:pos="1296"/>
                <w:tab w:val="left" w:pos="567" w:leader="none"/>
                <w:tab w:val="left" w:pos="851" w:leader="none"/>
                <w:tab w:val="left" w:pos="992" w:leader="none"/>
                <w:tab w:val="left" w:pos="1134" w:leader="none"/>
              </w:tabs>
              <w:spacing w:lineRule="auto" w:line="252"/>
              <w:rPr>
                <w:color w:val="000000"/>
              </w:rPr>
            </w:pPr>
            <w:r>
              <w:rPr>
                <w:rFonts w:eastAsia="Arial"/>
                <w:color w:val="000000"/>
                <w:kern w:val="2"/>
                <w:szCs w:val="24"/>
              </w:rPr>
              <w:t>12.2.5. Tiekėjas daugiau kaip 2 (du) kartus suteikia Paslaugas, kurios neatitinka Sutartyje ir (ar) įstatymuose nustatytų reikalavimų Paslaugoms;</w:t>
            </w:r>
          </w:p>
          <w:p>
            <w:pPr>
              <w:pStyle w:val="Normal"/>
              <w:tabs>
                <w:tab w:val="clear" w:pos="1296"/>
                <w:tab w:val="left" w:pos="567" w:leader="none"/>
                <w:tab w:val="left" w:pos="851" w:leader="none"/>
                <w:tab w:val="left" w:pos="992" w:leader="none"/>
                <w:tab w:val="left" w:pos="1134" w:leader="none"/>
              </w:tabs>
              <w:spacing w:lineRule="auto" w:line="252"/>
              <w:rPr>
                <w:color w:val="000000"/>
              </w:rPr>
            </w:pPr>
            <w:r>
              <w:rPr>
                <w:rFonts w:eastAsia="Arial"/>
                <w:color w:val="000000"/>
                <w:kern w:val="2"/>
                <w:szCs w:val="24"/>
              </w:rPr>
              <w:t>12.2.6. Tiekėjas pažeidžia šios Sutarties nuostatas, reglamentuojančias konkurenciją, intelektinės nuosavybės ar konfidencialios informacijos valdymą;</w:t>
            </w:r>
          </w:p>
          <w:p>
            <w:pPr>
              <w:pStyle w:val="Normal"/>
              <w:spacing w:lineRule="auto" w:line="252"/>
              <w:rPr>
                <w:color w:val="000000"/>
              </w:rPr>
            </w:pPr>
            <w:r>
              <w:rPr>
                <w:rFonts w:eastAsia="Arial"/>
                <w:color w:val="000000"/>
                <w:kern w:val="2"/>
                <w:szCs w:val="24"/>
              </w:rPr>
              <w:t>12.2.7.</w:t>
            </w:r>
            <w:r>
              <w:rPr>
                <w:color w:val="000000"/>
                <w:kern w:val="2"/>
                <w:szCs w:val="24"/>
                <w:shd w:fill="FFFFFF" w:val="clear"/>
              </w:rPr>
              <w:t xml:space="preserve"> </w:t>
            </w:r>
            <w:r>
              <w:rPr>
                <w:rFonts w:eastAsia="Arial"/>
                <w:color w:val="000000"/>
                <w:kern w:val="2"/>
                <w:szCs w:val="24"/>
              </w:rPr>
              <w:t>Tiekėjas 2 (du) kartus pažeidžia esminę Sutarties sąlygą.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b/>
                <w:kern w:val="2"/>
                <w:szCs w:val="24"/>
              </w:rPr>
              <w:t>13. APLINKOS APSAUGOS IR SOCIALINIAI KRITERIJAI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13.1. Su perkamomis paslaugomis susiję  aplinkos apsaugos kriterijai</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13.2. Su perkamomis Paslaugomis susiję socialiniai kriterijai</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14. BENDRŲJŲ SĄLYGŲ PAKEITIMAI IR PAPILDYMAI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14.1.</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t>Šalys susitaria papildyti Sutarties Bendrųjų sąlygų 16 punktą „nurodytais punktais, tačiau kitų punktų numeracijos nekeisti:</w:t>
            </w:r>
          </w:p>
          <w:p>
            <w:pPr>
              <w:pStyle w:val="Normal"/>
              <w:widowControl/>
              <w:suppressAutoHyphens w:val="true"/>
              <w:bidi w:val="0"/>
              <w:spacing w:before="0" w:after="0"/>
              <w:jc w:val="both"/>
              <w:rPr>
                <w:kern w:val="2"/>
                <w:szCs w:val="24"/>
              </w:rPr>
            </w:pPr>
            <w:r>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4">
              <w:r>
                <w:rPr>
                  <w:rStyle w:val="Hyperlink"/>
                  <w:b/>
                  <w:bCs/>
                </w:rPr>
                <w:t>https://vmu.lt/wp-content/uploads/2021/08/Antikorupcine-politika.pdf</w:t>
              </w:r>
            </w:hyperlink>
            <w:r>
              <w:rPr/>
              <w:t>;</w:t>
            </w:r>
          </w:p>
          <w:p>
            <w:pPr>
              <w:pStyle w:val="Normal"/>
              <w:widowControl/>
              <w:suppressAutoHyphens w:val="true"/>
              <w:bidi w:val="0"/>
              <w:spacing w:before="0" w:after="0"/>
              <w:jc w:val="both"/>
              <w:rPr>
                <w:kern w:val="2"/>
                <w:szCs w:val="24"/>
              </w:rPr>
            </w:pPr>
            <w:r>
              <w:rPr/>
              <w:t xml:space="preserve">16.6. Dovanų politika – dokumentas, kuriuo apibrėžiamos valstybės įmonės Valstybinių miškų urėdijos darbuotojų elgesio su dovanomis ir neteisėtu atlygiu principinės nuostatos. Su dokumentu galima susipažinti </w:t>
            </w:r>
            <w:hyperlink r:id="rId5">
              <w:r>
                <w:rPr>
                  <w:rStyle w:val="Hyperlink"/>
                  <w:b/>
                  <w:bCs/>
                </w:rPr>
                <w:t>https://vmu.lt/wp-content/uploads/2022/09/Dovanu-politika1.pdf</w:t>
              </w:r>
            </w:hyperlink>
            <w:r>
              <w:rPr/>
              <w:t>;</w:t>
            </w:r>
          </w:p>
          <w:p>
            <w:pPr>
              <w:pStyle w:val="Normal"/>
              <w:widowControl/>
              <w:suppressAutoHyphens w:val="true"/>
              <w:bidi w:val="0"/>
              <w:spacing w:before="0" w:after="0"/>
              <w:jc w:val="both"/>
              <w:rPr>
                <w:kern w:val="2"/>
                <w:szCs w:val="24"/>
              </w:rPr>
            </w:pPr>
            <w:r>
              <w:rPr>
                <w:kern w:val="2"/>
                <w:szCs w:val="24"/>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6">
              <w:r>
                <w:rPr>
                  <w:rStyle w:val="Hyperlink"/>
                  <w:b/>
                  <w:bCs/>
                  <w:kern w:val="2"/>
                  <w:szCs w:val="24"/>
                </w:rPr>
                <w:t>https://vmu.lt/wp-content/uploads/2021/08/Interesu-konfliktu-vengimo-politika.pdf</w:t>
              </w:r>
            </w:hyperlink>
            <w:r>
              <w:rPr>
                <w:kern w:val="2"/>
                <w:szCs w:val="24"/>
              </w:rPr>
              <w:t>;</w:t>
            </w:r>
          </w:p>
          <w:p>
            <w:pPr>
              <w:pStyle w:val="Normal"/>
              <w:widowControl/>
              <w:suppressAutoHyphens w:val="true"/>
              <w:bidi w:val="0"/>
              <w:spacing w:before="0" w:after="0"/>
              <w:jc w:val="both"/>
              <w:rPr>
                <w:kern w:val="2"/>
                <w:szCs w:val="24"/>
              </w:rPr>
            </w:pPr>
            <w:r>
              <w:rPr>
                <w:kern w:val="2"/>
                <w:szCs w:val="24"/>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7">
              <w:r>
                <w:rPr>
                  <w:rStyle w:val="Hyperlink"/>
                  <w:kern w:val="2"/>
                  <w:szCs w:val="24"/>
                </w:rPr>
                <w:t>https://vmu</w:t>
              </w:r>
            </w:hyperlink>
            <w:r>
              <w:rPr>
                <w:kern w:val="2"/>
                <w:szCs w:val="24"/>
              </w:rPr>
              <w:t>.lt/korupcijos-prevencija/, skiltis „Tiekėjų elgesio kodeksas ir kiti reikalavimai VMU veiklos partneriams“);</w:t>
            </w:r>
          </w:p>
          <w:p>
            <w:pPr>
              <w:pStyle w:val="Normal"/>
              <w:widowControl/>
              <w:suppressAutoHyphens w:val="true"/>
              <w:bidi w:val="0"/>
              <w:spacing w:before="0" w:after="0"/>
              <w:jc w:val="both"/>
              <w:rPr>
                <w:kern w:val="2"/>
                <w:szCs w:val="24"/>
              </w:rPr>
            </w:pPr>
            <w:r>
              <w:rPr>
                <w:kern w:val="2"/>
                <w:szCs w:val="24"/>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pPr>
              <w:pStyle w:val="Normal"/>
              <w:widowControl/>
              <w:suppressAutoHyphens w:val="true"/>
              <w:bidi w:val="0"/>
              <w:spacing w:before="0" w:after="0"/>
              <w:jc w:val="both"/>
              <w:rPr>
                <w:kern w:val="2"/>
                <w:szCs w:val="24"/>
              </w:rPr>
            </w:pPr>
            <w:r>
              <w:rPr>
                <w:kern w:val="2"/>
                <w:szCs w:val="24"/>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pPr>
              <w:pStyle w:val="Normal"/>
              <w:widowControl/>
              <w:suppressAutoHyphens w:val="true"/>
              <w:bidi w:val="0"/>
              <w:spacing w:before="0" w:after="0"/>
              <w:jc w:val="both"/>
              <w:rPr>
                <w:kern w:val="2"/>
                <w:szCs w:val="24"/>
              </w:rPr>
            </w:pPr>
            <w:r>
              <w:rPr>
                <w:kern w:val="2"/>
                <w:szCs w:val="24"/>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pPr>
              <w:pStyle w:val="Normal"/>
              <w:widowControl/>
              <w:suppressAutoHyphens w:val="true"/>
              <w:bidi w:val="0"/>
              <w:spacing w:before="0" w:after="0"/>
              <w:jc w:val="both"/>
              <w:rPr>
                <w:kern w:val="2"/>
                <w:szCs w:val="24"/>
              </w:rPr>
            </w:pPr>
            <w:r>
              <w:rPr>
                <w:kern w:val="2"/>
                <w:szCs w:val="24"/>
              </w:rPr>
              <w:t>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aukščiau nurodytų aplinkybių atsiradimą“.</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14.2.</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Šalys susitaria papildyti Sutarties Bendrąsias sąlygas nurodytu punktu:</w:t>
            </w:r>
          </w:p>
          <w:p>
            <w:pPr>
              <w:pStyle w:val="Normal"/>
              <w:widowControl/>
              <w:suppressAutoHyphens w:val="true"/>
              <w:bidi w:val="0"/>
              <w:spacing w:before="0" w:after="0"/>
              <w:jc w:val="both"/>
              <w:rPr>
                <w:kern w:val="2"/>
                <w:szCs w:val="24"/>
              </w:rPr>
            </w:pPr>
            <w:r>
              <w:rPr/>
              <w:t>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Pr>
                <w:i/>
                <w:iCs/>
              </w:rPr>
              <w:t>.</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14.3.</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 SUTARTIES PRIEDAI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15.1. Priedas Nr. 1</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pPr>
            <w:r>
              <w:rPr>
                <w:b/>
                <w:kern w:val="2"/>
                <w:szCs w:val="24"/>
              </w:rPr>
              <w:t>Techninės specifikacija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15.2. Priedas Nr. 2</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pPr>
            <w:r>
              <w:rPr>
                <w:b/>
                <w:kern w:val="2"/>
                <w:szCs w:val="24"/>
              </w:rPr>
              <w:t>Pasiūlymas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15.3. Priedas Nr. 3</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pPr>
            <w:r>
              <w:rPr>
                <w:b/>
                <w:kern w:val="2"/>
                <w:szCs w:val="24"/>
              </w:rPr>
              <w:t>Sutarties Bendrosios sąlygos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15.4. Priedas Nr. 4</w:t>
            </w:r>
          </w:p>
        </w:tc>
        <w:tc>
          <w:tcPr>
            <w:tcW w:w="6479" w:type="dxa"/>
            <w:gridSpan w:val="3"/>
            <w:tcBorders>
              <w:top w:val="single" w:sz="4" w:space="0" w:color="000000"/>
              <w:left w:val="single" w:sz="4" w:space="0" w:color="000000"/>
              <w:bottom w:val="single" w:sz="4" w:space="0" w:color="000000"/>
              <w:right w:val="single" w:sz="4" w:space="0" w:color="000000"/>
            </w:tcBorders>
          </w:tcPr>
          <w:p>
            <w:pPr>
              <w:pStyle w:val="Normal"/>
              <w:rPr/>
            </w:pPr>
            <w:r>
              <w:rPr>
                <w:b/>
                <w:kern w:val="2"/>
                <w:szCs w:val="24"/>
              </w:rPr>
              <w:t>Įsipareigojimas neatskleisti konfidencialios informacijos</w:t>
            </w:r>
          </w:p>
        </w:tc>
      </w:tr>
      <w:tr>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16. ŠALIŲ ATSTOVŲ PARAŠAI</w:t>
            </w:r>
          </w:p>
        </w:tc>
      </w:tr>
      <w:tr>
        <w:trPr/>
        <w:tc>
          <w:tcPr>
            <w:tcW w:w="522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PIRKĖJAS</w:t>
            </w:r>
          </w:p>
        </w:tc>
        <w:tc>
          <w:tcPr>
            <w:tcW w:w="4306"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TIEKĖJAS</w:t>
            </w:r>
          </w:p>
        </w:tc>
      </w:tr>
      <w:tr>
        <w:trPr/>
        <w:tc>
          <w:tcPr>
            <w:tcW w:w="5228" w:type="dxa"/>
            <w:gridSpan w:val="3"/>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color w:val="4472C4"/>
                <w:kern w:val="2"/>
                <w:szCs w:val="24"/>
              </w:rPr>
              <w:t>(nurodomos atstovo pareigos, vardas, pavardė)</w:t>
            </w:r>
          </w:p>
        </w:tc>
        <w:tc>
          <w:tcPr>
            <w:tcW w:w="4306"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color w:val="4472C4"/>
                <w:kern w:val="2"/>
                <w:szCs w:val="24"/>
              </w:rPr>
              <w:t>(nurodomos atstovo pareigos, vardas, pavardė)</w:t>
            </w:r>
          </w:p>
        </w:tc>
      </w:tr>
      <w:tr>
        <w:trPr/>
        <w:tc>
          <w:tcPr>
            <w:tcW w:w="522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r>
          </w:p>
        </w:tc>
        <w:tc>
          <w:tcPr>
            <w:tcW w:w="4306" w:type="dxa"/>
            <w:tcBorders>
              <w:top w:val="single" w:sz="4" w:space="0" w:color="000000"/>
              <w:left w:val="single" w:sz="4" w:space="0" w:color="000000"/>
              <w:bottom w:val="single" w:sz="4" w:space="0" w:color="000000"/>
              <w:right w:val="single" w:sz="4" w:space="0" w:color="000000"/>
            </w:tcBorders>
          </w:tcPr>
          <w:p>
            <w:pPr>
              <w:pStyle w:val="Normal"/>
              <w:jc w:val="center"/>
              <w:rPr>
                <w:b/>
                <w:color w:val="4472C4"/>
                <w:kern w:val="2"/>
                <w:szCs w:val="24"/>
              </w:rPr>
            </w:pPr>
            <w:r>
              <w:rPr>
                <w:b/>
                <w:color w:val="4472C4"/>
                <w:kern w:val="2"/>
                <w:szCs w:val="24"/>
              </w:rPr>
            </w:r>
          </w:p>
          <w:p>
            <w:pPr>
              <w:pStyle w:val="Normal"/>
              <w:jc w:val="center"/>
              <w:rPr>
                <w:b/>
                <w:color w:val="4472C4"/>
                <w:kern w:val="2"/>
                <w:szCs w:val="24"/>
              </w:rPr>
            </w:pPr>
            <w:r>
              <w:rPr>
                <w:b/>
                <w:color w:val="4472C4"/>
                <w:kern w:val="2"/>
                <w:szCs w:val="24"/>
              </w:rPr>
              <w:t>(parašas)</w:t>
            </w:r>
          </w:p>
        </w:tc>
      </w:tr>
    </w:tbl>
    <w:p>
      <w:pPr>
        <w:pStyle w:val="Normal"/>
        <w:rPr>
          <w:szCs w:val="24"/>
        </w:rPr>
      </w:pPr>
      <w:r>
        <w:rPr>
          <w:szCs w:val="24"/>
        </w:rPr>
      </w:r>
    </w:p>
    <w:p>
      <w:pPr>
        <w:pStyle w:val="Normal"/>
        <w:rPr>
          <w:szCs w:val="24"/>
        </w:rPr>
      </w:pPr>
      <w:r>
        <w:rPr>
          <w:szCs w:val="24"/>
        </w:rPr>
      </w:r>
    </w:p>
    <w:p>
      <w:pPr>
        <w:pStyle w:val="Normal"/>
        <w:tabs>
          <w:tab w:val="clear" w:pos="1296"/>
          <w:tab w:val="left" w:pos="5400" w:leader="none"/>
        </w:tabs>
        <w:jc w:val="center"/>
        <w:textAlignment w:val="center"/>
        <w:rPr/>
      </w:pPr>
      <w:r>
        <w:rPr>
          <w:b/>
          <w:bCs/>
        </w:rPr>
        <w:t>______________</w:t>
      </w:r>
    </w:p>
    <w:sectPr>
      <w:headerReference w:type="even" r:id="rId8"/>
      <w:headerReference w:type="default" r:id="rId9"/>
      <w:headerReference w:type="first" r:id="rId10"/>
      <w:footerReference w:type="even" r:id="rId11"/>
      <w:footerReference w:type="default" r:id="rId12"/>
      <w:footerReference w:type="first" r:id="rId13"/>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Segoe U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11</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819" w:leader="none"/>
        <w:tab w:val="right" w:pos="9638" w:leader="none"/>
      </w:tabs>
      <w:jc w:val="right"/>
      <w:rPr>
        <w:rFonts w:ascii="Arial" w:hAnsi="Arial" w:eastAsia="Calibri" w:cs="Arial"/>
        <w:sz w:val="20"/>
      </w:rPr>
    </w:pPr>
    <w:r>
      <w:rPr>
        <w:rFonts w:eastAsia="Calibri" w:cs="Arial" w:ascii="Arial" w:hAnsi="Arial"/>
        <w:sz w:val="20"/>
      </w:rPr>
      <w:t xml:space="preserve">Atviro konkurso Specialiųjų sąlygų </w:t>
    </w:r>
  </w:p>
  <w:p>
    <w:pPr>
      <w:pStyle w:val="Normal"/>
      <w:tabs>
        <w:tab w:val="clear" w:pos="1296"/>
        <w:tab w:val="center" w:pos="4819" w:leader="none"/>
        <w:tab w:val="right" w:pos="9638" w:leader="none"/>
      </w:tabs>
      <w:jc w:val="right"/>
      <w:rPr>
        <w:rFonts w:ascii="Arial" w:hAnsi="Arial" w:eastAsia="Calibri" w:cs="Arial"/>
        <w:sz w:val="20"/>
      </w:rPr>
    </w:pPr>
    <w:r>
      <w:rPr>
        <w:rFonts w:eastAsia="Calibri" w:cs="Arial" w:ascii="Arial" w:hAnsi="Arial"/>
        <w:sz w:val="20"/>
      </w:rPr>
      <w:t>priedas Nr. 5 „Paslaugų pirkimo-pardavimo sutarties specialiosios sąlygos“</w:t>
    </w:r>
  </w:p>
</w:hdr>
</file>

<file path=word/settings.xml><?xml version="1.0" encoding="utf-8"?>
<w:settings xmlns:w="http://schemas.openxmlformats.org/wordprocessingml/2006/main">
  <w:zoom w:percent="10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HeaderChar" w:customStyle="1">
    <w:name w:val="Header Char"/>
    <w:basedOn w:val="DefaultParagraphFont"/>
    <w:qFormat/>
    <w:rsid w:val="007a75c6"/>
    <w:rPr/>
  </w:style>
  <w:style w:type="character" w:styleId="FooterChar" w:customStyle="1">
    <w:name w:val="Footer Char"/>
    <w:basedOn w:val="DefaultParagraphFont"/>
    <w:qFormat/>
    <w:rsid w:val="007a75c6"/>
    <w:rPr/>
  </w:style>
  <w:style w:type="character" w:styleId="normaltextrun" w:customStyle="1">
    <w:name w:val="normaltextrun"/>
    <w:basedOn w:val="DefaultParagraphFont"/>
    <w:qFormat/>
    <w:rsid w:val="00c74fa2"/>
    <w:rPr/>
  </w:style>
  <w:style w:type="character" w:styleId="eop" w:customStyle="1">
    <w:name w:val="eop"/>
    <w:basedOn w:val="DefaultParagraphFont"/>
    <w:qFormat/>
    <w:rsid w:val="00c74fa2"/>
    <w:rPr/>
  </w:style>
  <w:style w:type="character" w:styleId="Galinsinaosramenys" w:customStyle="1">
    <w:name w:val="Galinės išnašos rašmenys"/>
    <w:qFormat/>
    <w:rPr/>
  </w:style>
  <w:style w:type="character" w:styleId="InternetLink" w:customStyle="1">
    <w:name w:val="Internet Link"/>
    <w:qFormat/>
    <w:rPr>
      <w:color w:val="000080"/>
      <w:u w:val="single"/>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customStyle="1">
    <w:name w:val="Internet Link5"/>
    <w:qFormat/>
    <w:rPr>
      <w:color w:val="000080"/>
      <w:u w:val="single"/>
    </w:rPr>
  </w:style>
  <w:style w:type="character" w:styleId="CommentReference">
    <w:name w:val="annotation reference"/>
    <w:basedOn w:val="DefaultParagraphFont"/>
    <w:semiHidden/>
    <w:unhideWhenUsed/>
    <w:qFormat/>
    <w:rsid w:val="00742204"/>
    <w:rPr>
      <w:sz w:val="16"/>
      <w:szCs w:val="16"/>
    </w:rPr>
  </w:style>
  <w:style w:type="character" w:styleId="CommentTextChar" w:customStyle="1">
    <w:name w:val="Comment Text Char"/>
    <w:basedOn w:val="DefaultParagraphFont"/>
    <w:qFormat/>
    <w:rsid w:val="00742204"/>
    <w:rPr>
      <w:sz w:val="20"/>
    </w:rPr>
  </w:style>
  <w:style w:type="character" w:styleId="CommentSubjectChar" w:customStyle="1">
    <w:name w:val="Comment Subject Char"/>
    <w:basedOn w:val="CommentTextChar"/>
    <w:link w:val="annotationsubject"/>
    <w:semiHidden/>
    <w:qFormat/>
    <w:rsid w:val="00742204"/>
    <w:rPr>
      <w:b/>
      <w:bCs/>
      <w:sz w:val="20"/>
    </w:rPr>
  </w:style>
  <w:style w:type="character" w:styleId="InternetLink6" w:customStyle="1">
    <w:name w:val="Internet Link6"/>
    <w:qFormat/>
    <w:rPr>
      <w:color w:val="000080"/>
      <w:u w:val="single"/>
    </w:rPr>
  </w:style>
  <w:style w:type="character" w:styleId="LineNumbering" w:customStyle="1">
    <w:name w:val="Line Numbering"/>
    <w:qFormat/>
    <w:rPr/>
  </w:style>
  <w:style w:type="character" w:styleId="InternetLink7" w:customStyle="1">
    <w:name w:val="Internet Link7"/>
    <w:qFormat/>
    <w:rPr>
      <w:color w:val="000080"/>
      <w:u w:val="single"/>
    </w:rPr>
  </w:style>
  <w:style w:type="character" w:styleId="LineNumbering1" w:customStyle="1">
    <w:name w:val="Line Numbering1"/>
    <w:qFormat/>
    <w:rPr/>
  </w:style>
  <w:style w:type="character" w:styleId="InternetLink8" w:customStyle="1">
    <w:name w:val="Internet Link8"/>
    <w:qFormat/>
    <w:rPr>
      <w:color w:val="000080"/>
      <w:u w:val="single"/>
    </w:rPr>
  </w:style>
  <w:style w:type="character" w:styleId="LineNumbering2" w:customStyle="1">
    <w:name w:val="Line Numbering2"/>
    <w:qFormat/>
    <w:rPr/>
  </w:style>
  <w:style w:type="character" w:styleId="InternetLink9" w:customStyle="1">
    <w:name w:val="Internet Link9"/>
    <w:qFormat/>
    <w:rPr>
      <w:color w:val="000080"/>
      <w:u w:val="single"/>
    </w:rPr>
  </w:style>
  <w:style w:type="character" w:styleId="LineNumbering3" w:customStyle="1">
    <w:name w:val="Line Numbering3"/>
    <w:qFormat/>
    <w:rPr/>
  </w:style>
  <w:style w:type="character" w:styleId="InternetLink10" w:customStyle="1">
    <w:name w:val="Internet Link10"/>
    <w:qFormat/>
    <w:rPr>
      <w:color w:val="000080"/>
      <w:u w:val="single"/>
    </w:rPr>
  </w:style>
  <w:style w:type="character" w:styleId="LineNumbering4" w:customStyle="1">
    <w:name w:val="Line Numbering4"/>
    <w:qFormat/>
    <w:rPr/>
  </w:style>
  <w:style w:type="character" w:styleId="InternetLink11" w:customStyle="1">
    <w:name w:val="Internet Link11"/>
    <w:qFormat/>
    <w:rPr>
      <w:color w:val="000080"/>
      <w:u w:val="single"/>
    </w:rPr>
  </w:style>
  <w:style w:type="character" w:styleId="LineNumbering5" w:customStyle="1">
    <w:name w:val="Line Numbering5"/>
    <w:qFormat/>
    <w:rPr/>
  </w:style>
  <w:style w:type="character" w:styleId="InternetLink12" w:customStyle="1">
    <w:name w:val="Internet Link12"/>
    <w:qFormat/>
    <w:rPr>
      <w:color w:val="000080"/>
      <w:u w:val="single"/>
    </w:rPr>
  </w:style>
  <w:style w:type="character" w:styleId="LineNumbering6" w:customStyle="1">
    <w:name w:val="Line Numbering6"/>
    <w:qFormat/>
    <w:rPr/>
  </w:style>
  <w:style w:type="character" w:styleId="InternetLink13" w:customStyle="1">
    <w:name w:val="Internet Link13"/>
    <w:qFormat/>
    <w:rPr>
      <w:color w:val="000080"/>
      <w:u w:val="single"/>
    </w:rPr>
  </w:style>
  <w:style w:type="character" w:styleId="LineNumbering7" w:customStyle="1">
    <w:name w:val="Line Numbering7"/>
    <w:qFormat/>
    <w:rPr/>
  </w:style>
  <w:style w:type="character" w:styleId="InternetLink14" w:customStyle="1">
    <w:name w:val="Internet Link14"/>
    <w:qFormat/>
    <w:rPr>
      <w:color w:val="000080"/>
      <w:u w:val="single"/>
    </w:rPr>
  </w:style>
  <w:style w:type="character" w:styleId="LineNumbering8" w:customStyle="1">
    <w:name w:val="Line Numbering8"/>
    <w:qFormat/>
    <w:rPr/>
  </w:style>
  <w:style w:type="character" w:styleId="InternetLink15">
    <w:name w:val="Internet Link15"/>
    <w:qFormat/>
    <w:rPr>
      <w:color w:val="000080"/>
      <w:u w:val="single"/>
    </w:rPr>
  </w:style>
  <w:style w:type="character" w:styleId="LineNumbering9">
    <w:name w:val="Line Numbering9"/>
    <w:qFormat/>
    <w:rPr/>
  </w:style>
  <w:style w:type="character" w:styleId="UnresolvedMention">
    <w:name w:val="Unresolved Mention"/>
    <w:basedOn w:val="DefaultParagraphFont"/>
    <w:uiPriority w:val="99"/>
    <w:semiHidden/>
    <w:unhideWhenUsed/>
    <w:qFormat/>
    <w:rsid w:val="00f51536"/>
    <w:rPr>
      <w:color w:val="605E5C"/>
      <w:shd w:fill="E1DFDD" w:val="clear"/>
    </w:rPr>
  </w:style>
  <w:style w:type="character" w:styleId="InternetLink16">
    <w:name w:val="Internet Link16"/>
    <w:qFormat/>
    <w:rPr>
      <w:color w:val="000080"/>
      <w:u w:val="single"/>
    </w:rPr>
  </w:style>
  <w:style w:type="character" w:styleId="LineNumbering10">
    <w:name w:val="Line Numbering10"/>
    <w:qFormat/>
    <w:rPr/>
  </w:style>
  <w:style w:type="character" w:styleId="InternetLink17">
    <w:name w:val="Internet Link17"/>
    <w:qFormat/>
    <w:rPr>
      <w:color w:val="000080"/>
      <w:u w:val="single"/>
    </w:rPr>
  </w:style>
  <w:style w:type="character" w:styleId="LineNumbering11">
    <w:name w:val="Line Numbering11"/>
    <w:qFormat/>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Cs w:val="24"/>
    </w:rPr>
  </w:style>
  <w:style w:type="paragraph" w:styleId="Rodykl" w:customStyle="1">
    <w:name w:val="Rodyklė"/>
    <w:basedOn w:val="Normal"/>
    <w:qFormat/>
    <w:pPr>
      <w:suppressLineNumbers/>
    </w:pPr>
    <w:rPr>
      <w:rFonts w:cs="Lucida Sans"/>
    </w:rPr>
  </w:style>
  <w:style w:type="paragraph" w:styleId="Antrat1" w:customStyle="1">
    <w:name w:val="Antraštė1"/>
    <w:basedOn w:val="Normal"/>
    <w:next w:val="BodyText"/>
    <w:qFormat/>
    <w:pPr>
      <w:keepNext w:val="true"/>
      <w:spacing w:before="240" w:after="120"/>
    </w:pPr>
    <w:rPr>
      <w:rFonts w:ascii="Liberation Sans" w:hAnsi="Liberation Sans" w:eastAsia="Microsoft YaHei" w:cs="Lucida Sans"/>
      <w:sz w:val="28"/>
      <w:szCs w:val="28"/>
    </w:rPr>
  </w:style>
  <w:style w:type="paragraph" w:styleId="HeaderandFooter" w:customStyle="1">
    <w:name w:val="Header and Footer"/>
    <w:basedOn w:val="Normal"/>
    <w:qFormat/>
    <w:pPr/>
    <w:rPr/>
  </w:style>
  <w:style w:type="paragraph" w:styleId="Header">
    <w:name w:val="header"/>
    <w:basedOn w:val="Normal"/>
    <w:link w:val="HeaderChar"/>
    <w:unhideWhenUsed/>
    <w:rsid w:val="007a75c6"/>
    <w:pPr>
      <w:tabs>
        <w:tab w:val="clear" w:pos="1296"/>
        <w:tab w:val="center" w:pos="4513" w:leader="none"/>
        <w:tab w:val="right" w:pos="9026" w:leader="none"/>
      </w:tabs>
    </w:pPr>
    <w:rPr/>
  </w:style>
  <w:style w:type="paragraph" w:styleId="Footer">
    <w:name w:val="footer"/>
    <w:basedOn w:val="Normal"/>
    <w:link w:val="FooterChar"/>
    <w:unhideWhenUsed/>
    <w:rsid w:val="007a75c6"/>
    <w:pPr>
      <w:tabs>
        <w:tab w:val="clear" w:pos="1296"/>
        <w:tab w:val="center" w:pos="4513" w:leader="none"/>
        <w:tab w:val="right" w:pos="9026" w:leader="none"/>
      </w:tabs>
    </w:pPr>
    <w:rPr/>
  </w:style>
  <w:style w:type="paragraph" w:styleId="paragraph" w:customStyle="1">
    <w:name w:val="paragraph"/>
    <w:basedOn w:val="Normal"/>
    <w:qFormat/>
    <w:rsid w:val="00c74fa2"/>
    <w:pPr>
      <w:spacing w:beforeAutospacing="1" w:afterAutospacing="1"/>
    </w:pPr>
    <w:rPr>
      <w:szCs w:val="24"/>
      <w:lang w:val="en-US"/>
    </w:rPr>
  </w:style>
  <w:style w:type="paragraph" w:styleId="Lentelsturinys" w:customStyle="1">
    <w:name w:val="Lentelės turinys"/>
    <w:basedOn w:val="Normal"/>
    <w:qFormat/>
    <w:pPr>
      <w:widowControl w:val="false"/>
      <w:suppressLineNumbers/>
    </w:pPr>
    <w:rPr/>
  </w:style>
  <w:style w:type="paragraph" w:styleId="Lentelsantrat" w:customStyle="1">
    <w:name w:val="Lentelės antraštė"/>
    <w:basedOn w:val="Lentelsturinys"/>
    <w:qFormat/>
    <w:pPr>
      <w:jc w:val="center"/>
    </w:pPr>
    <w:rPr>
      <w:b/>
      <w:bCs/>
    </w:rPr>
  </w:style>
  <w:style w:type="paragraph" w:styleId="Revision">
    <w:name w:val="Revision"/>
    <w:semiHidden/>
    <w:qFormat/>
    <w:rsid w:val="00742204"/>
    <w:pPr>
      <w:widowControl/>
      <w:suppressAutoHyphens w:val="false"/>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CommentText">
    <w:name w:val="annotation text"/>
    <w:basedOn w:val="Normal"/>
    <w:link w:val="CommentTextChar"/>
    <w:unhideWhenUsed/>
    <w:rsid w:val="00742204"/>
    <w:pPr/>
    <w:rPr>
      <w:sz w:val="20"/>
    </w:rPr>
  </w:style>
  <w:style w:type="paragraph" w:styleId="annotationsubject">
    <w:name w:val="annotation subject"/>
    <w:basedOn w:val="CommentText"/>
    <w:next w:val="CommentText"/>
    <w:link w:val="CommentSubjectChar"/>
    <w:semiHidden/>
    <w:unhideWhenUsed/>
    <w:qFormat/>
    <w:rsid w:val="00742204"/>
    <w:pPr/>
    <w:rPr>
      <w:b/>
      <w:bCs/>
    </w:rPr>
  </w:style>
  <w:style w:type="paragraph" w:styleId="Comment" w:customStyle="1">
    <w:name w:val="Comment"/>
    <w:basedOn w:val="Normal"/>
    <w:qFormat/>
    <w:pPr>
      <w:spacing w:before="56" w:after="0"/>
      <w:ind w:left="56" w:right="56"/>
    </w:pPr>
    <w:rPr>
      <w:sz w:val="20"/>
    </w:rPr>
  </w:style>
  <w:style w:type="paragraph" w:styleId="ListParagraph">
    <w:name w:val="List Paragraph"/>
    <w:basedOn w:val="Normal"/>
    <w:qFormat/>
    <w:pPr>
      <w:spacing w:before="0" w:after="0"/>
      <w:ind w:left="72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nfo@vmu.lt" TargetMode="External"/><Relationship Id="rId3" Type="http://schemas.openxmlformats.org/officeDocument/2006/relationships/hyperlink" Target="https://osp.stat.gov.lt/" TargetMode="External"/><Relationship Id="rId4" Type="http://schemas.openxmlformats.org/officeDocument/2006/relationships/hyperlink" Target="https://vmu.lt/wp-content/uploads/2021/08/Antikorupcine-politika.pdf" TargetMode="External"/><Relationship Id="rId5" Type="http://schemas.openxmlformats.org/officeDocument/2006/relationships/hyperlink" Target="https://vmu.lt/wp-content/uploads/2022/09/Dovanu-politika1.pdf" TargetMode="External"/><Relationship Id="rId6" Type="http://schemas.openxmlformats.org/officeDocument/2006/relationships/hyperlink" Target="https://vmu.lt/wp-content/uploads/2021/08/Interesu-konfliktu-vengimo-politika.pdf" TargetMode="External"/><Relationship Id="rId7" Type="http://schemas.openxmlformats.org/officeDocument/2006/relationships/hyperlink" Target="https://vmu/"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Relationship Id="rId18" Type="http://schemas.openxmlformats.org/officeDocument/2006/relationships/customXml" Target="../customXml/item2.xml"/><Relationship Id="rId19" Type="http://schemas.openxmlformats.org/officeDocument/2006/relationships/customXml" Target="../customXml/item3.xml"/><Relationship Id="rId20"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Application>LibreOffice/24.8.0.3$Windows_X86_64 LibreOffice_project/0bdf1299c94fe897b119f97f3c613e9dca6be583</Application>
  <AppVersion>15.0000</AppVersion>
  <DocSecurity>4</DocSecurity>
  <Pages>11</Pages>
  <Words>2907</Words>
  <Characters>20852</Characters>
  <CharactersWithSpaces>23559</CharactersWithSpaces>
  <Paragraphs>221</Paragraphs>
  <Company>Aon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2026-07-03T07:26:00Z</dcterms:created>
  <dc:creator>Renata Macijauskaitė | VMU</dc:creator>
  <dc:description/>
  <dc:language>lt-LT</dc:language>
  <cp:lastModifiedBy/>
  <dcterms:modified xsi:type="dcterms:W3CDTF">2026-07-30T14:31:40Z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9043f10a-881e-4653-a55e-02ca2cc829dc_ActionId">
    <vt:lpwstr>f28eb62e-4533-4ec0-b535-96b4229a8334</vt:lpwstr>
  </property>
  <property fmtid="{D5CDD505-2E9C-101B-9397-08002B2CF9AE}" pid="4" name="MSIP_Label_9043f10a-881e-4653-a55e-02ca2cc829dc_ContentBits">
    <vt:lpwstr>0</vt:lpwstr>
  </property>
  <property fmtid="{D5CDD505-2E9C-101B-9397-08002B2CF9AE}" pid="5" name="MSIP_Label_9043f10a-881e-4653-a55e-02ca2cc829dc_Enabled">
    <vt:lpwstr>true</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etDate">
    <vt:lpwstr>2026-06-17T10:28:56Z</vt:lpwstr>
  </property>
  <property fmtid="{D5CDD505-2E9C-101B-9397-08002B2CF9AE}" pid="9" name="MSIP_Label_9043f10a-881e-4653-a55e-02ca2cc829dc_SiteId">
    <vt:lpwstr>94cfddbc-0627-494a-ad7a-29aea3aea832</vt:lpwstr>
  </property>
  <property fmtid="{D5CDD505-2E9C-101B-9397-08002B2CF9AE}" pid="10" name="MSIP_Label_9043f10a-881e-4653-a55e-02ca2cc829dc_Tag">
    <vt:lpwstr>10, 3, 0, 1</vt:lpwstr>
  </property>
</Properties>
</file>